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Write a daily staff huddle brief</w:t>
      </w:r>
    </w:p>
    <w:p>
      <w:pPr>
        <w:spacing w:after="260"/>
      </w:pPr>
      <w:r>
        <w:rPr>
          <w:color w:val="657068"/>
          <w:sz w:val="22"/>
        </w:rPr>
        <w:t>A guided workflow to create a first draft of ‘Write a daily staff huddle brief’, with context prompts, review checks and a useful next step.</w:t>
      </w:r>
    </w:p>
    <w:p>
      <w:pPr>
        <w:pStyle w:val="Heading1"/>
      </w:pPr>
      <w:r>
        <w:t>The result</w:t>
      </w:r>
    </w:p>
    <w:p>
      <w:r>
        <w:t>a practical operations checklist or action plan for: write a daily staff huddle brief.</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Write a daily staff huddle brief.</w:t>
              <w:br/>
              <w:br/>
              <w:t>Desired result: a practical operations checklist or action plan for: write a daily staff huddle brief.</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daily staff huddle brief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