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Turn experience into STAR stories</w:t>
      </w:r>
    </w:p>
    <w:p>
      <w:pPr>
        <w:spacing w:after="260"/>
      </w:pPr>
      <w:r>
        <w:rPr>
          <w:color w:val="657068"/>
          <w:sz w:val="22"/>
        </w:rPr>
        <w:t>A guided workflow to create a first draft of ‘Turn experience into STAR stories’,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turn experience into star stories.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Turn experience into STAR stories.</w:t>
              <w:br/>
              <w:br/>
              <w:t>Desired result: a practical career document or next-step plan for: turn experience into star stories.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 experience into STAR stories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