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Turn a textbook chapter into a study guide</w:t>
      </w:r>
    </w:p>
    <w:p>
      <w:pPr>
        <w:spacing w:after="260"/>
      </w:pPr>
      <w:r>
        <w:rPr>
          <w:color w:val="657068"/>
          <w:sz w:val="22"/>
        </w:rPr>
        <w:t>A guided workflow to create a first draft of ‘Turn a textbook chapter into a study guide’,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turn a textbook chapter into a study guide.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Turn a textbook chapter into a study guide.</w:t>
              <w:br/>
              <w:br/>
              <w:t>Desired result: a source-aware learning or research resource for: turn a textbook chapter into a study guide.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 textbook chapter into a study guide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