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Turn a book idea into weekly actions</w:t>
      </w:r>
    </w:p>
    <w:p>
      <w:pPr>
        <w:spacing w:after="260"/>
      </w:pPr>
      <w:r>
        <w:rPr>
          <w:color w:val="657068"/>
          <w:sz w:val="22"/>
        </w:rPr>
        <w:t>A guided workflow to create a first draft of ‘Turn a book idea into weekly actions’,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turn a book idea into weekly actions.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Turn a book idea into weekly actions.</w:t>
              <w:br/>
              <w:br/>
              <w:t>Desired result: a source-aware learning or research resource for: turn a book idea into weekly actions.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book idea into weekly actions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