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Set a service price and scope</w:t>
      </w:r>
    </w:p>
    <w:p>
      <w:pPr>
        <w:spacing w:after="260"/>
      </w:pPr>
      <w:r>
        <w:rPr>
          <w:color w:val="657068"/>
          <w:sz w:val="22"/>
        </w:rPr>
        <w:t>A guided workflow to create a first draft of ‘Set a service price and scope’,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set a service price and scope.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Set a service price and scope.</w:t>
              <w:br/>
              <w:br/>
              <w:t>Desired result: a concise business asset and validation step for: set a service price and scope.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a service price and scope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