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Reflect on what you learned</w:t>
      </w:r>
    </w:p>
    <w:p>
      <w:pPr>
        <w:spacing w:after="260"/>
      </w:pPr>
      <w:r>
        <w:rPr>
          <w:color w:val="657068"/>
          <w:sz w:val="22"/>
        </w:rPr>
        <w:t>A guided workflow to create a first draft of ‘Reflect on what you learned’,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reflect on what you learned.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Reflect on what you learned.</w:t>
              <w:br/>
              <w:br/>
              <w:t>Desired result: a source-aware learning or research resource for: reflect on what you learned.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 on what you learned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