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Prepare for a classroom debate</w:t>
      </w:r>
    </w:p>
    <w:p>
      <w:pPr>
        <w:spacing w:after="260"/>
      </w:pPr>
      <w:r>
        <w:rPr>
          <w:color w:val="657068"/>
          <w:sz w:val="22"/>
        </w:rPr>
        <w:t>A guided workflow to create a first draft of ‘Prepare for a classroom debate’,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prepare for a classroom debate.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Prepare for a classroom debate.</w:t>
              <w:br/>
              <w:br/>
              <w:t>Desired result: a source-aware learning or research resource for: prepare for a classroom debate.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 for a classroom debate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