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Map an argument and its evidence</w:t>
      </w:r>
    </w:p>
    <w:p>
      <w:pPr>
        <w:spacing w:after="260"/>
      </w:pPr>
      <w:r>
        <w:rPr>
          <w:color w:val="657068"/>
          <w:sz w:val="22"/>
        </w:rPr>
        <w:t>A guided workflow to create a first draft of ‘Map an argument and its evidence’,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map an argument and its evidence.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Map an argument and its evidence.</w:t>
              <w:br/>
              <w:br/>
              <w:t>Desired result: a source-aware learning or research resource for: map an argument and its evidence.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 an argument and its evidence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