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Fact-check a claim against sources</w:t>
      </w:r>
    </w:p>
    <w:p>
      <w:pPr>
        <w:spacing w:after="260"/>
      </w:pPr>
      <w:r>
        <w:rPr>
          <w:color w:val="657068"/>
          <w:sz w:val="22"/>
        </w:rPr>
        <w:t>A guided workflow to create a first draft of ‘Fact-check a claim against sources’,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fact-check a claim against sources.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Fact-check a claim against sources.</w:t>
              <w:br/>
              <w:br/>
              <w:t>Desired result: a source-aware learning or research resource for: fact-check a claim against sources.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Fact-check a claim against sources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