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Coach a sales call from notes</w:t>
      </w:r>
    </w:p>
    <w:p>
      <w:pPr>
        <w:spacing w:after="260"/>
      </w:pPr>
      <w:r>
        <w:rPr>
          <w:color w:val="657068"/>
          <w:sz w:val="22"/>
        </w:rPr>
        <w:t>A guided workflow to create a first draft of ‘Coach a sales call from notes’,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coach a sales call from notes.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Coach a sales call from notes.</w:t>
              <w:br/>
              <w:br/>
              <w:t>Desired result: a customer-ready message, call plan or account action for: coach a sales call from notes.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Coach a sales call from notes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