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Build a practice quiz</w:t>
      </w:r>
    </w:p>
    <w:p>
      <w:pPr>
        <w:spacing w:after="260"/>
      </w:pPr>
      <w:r>
        <w:rPr>
          <w:color w:val="657068"/>
          <w:sz w:val="22"/>
        </w:rPr>
        <w:t>A guided workflow to create a first draft of ‘Build a practice quiz’,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build a practice quiz.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Build a practice quiz.</w:t>
              <w:br/>
              <w:br/>
              <w:t>Desired result: a source-aware learning or research resource for: build a practice quiz.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a practice quiz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